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12th DAY, Sunday, 29 December,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0925D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KASU BRAHMANANDA REDDY MEMORIAL CUP (ABOUT) 2000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SPORT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NIGHTMARE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 IMMORTAL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PAINTED APACHE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YESTERDAY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</w:tbl>
    <w:p w:rsidR="00000000" w:rsidRDefault="000925D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G. VASUDEV REDDY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WARWICK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DANGER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HURRICANE WAVE  (EX:FINAL JUDGEMENT)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0925D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DILAGE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CRUSADER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SELF IMAGE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LINDA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JOLLY JESTER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GUN FOR GOLD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SHOOLIN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SHOOTING STAR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CHALLENGE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CHERISH THE LADY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THAT'S MY MISSION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GIFTED GIRL  (EX:LADY RACINES)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GENIE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PRINCE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925D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HOPING HIGH</w:t>
                  </w:r>
                </w:p>
              </w:tc>
            </w:tr>
          </w:tbl>
          <w:p w:rsidR="00000000" w:rsidRDefault="000925D5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925D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SHOOLIN</w:t>
                  </w:r>
                </w:p>
              </w:tc>
            </w:tr>
          </w:tbl>
          <w:p w:rsidR="00000000" w:rsidRDefault="000925D5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925D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DIABLO, N R I STAR</w:t>
                  </w:r>
                </w:p>
              </w:tc>
            </w:tr>
          </w:tbl>
          <w:p w:rsidR="00000000" w:rsidRDefault="000925D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925D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AUXILIARY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0925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25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925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925D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WANDRING WARRIOR</w:t>
                  </w:r>
                </w:p>
              </w:tc>
            </w:tr>
          </w:tbl>
          <w:p w:rsidR="00000000" w:rsidRDefault="000925D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925D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GANGOTRI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SWISS GIRL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ARNAZ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 BROTHER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PROTOCOL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SMART BOY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ZIDANE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925D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HOPING QUEEN, BLUE BRIGADE</w:t>
                  </w:r>
                </w:p>
              </w:tc>
            </w:tr>
          </w:tbl>
          <w:p w:rsidR="00000000" w:rsidRDefault="000925D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925D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0925D5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0925D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GODOLPHIN BARB MILLION (ABOUT) 1400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horses, 2 Year olds only (Foaled in 2022)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WEIGHTS:Colts &amp; Geldings ... 51.5 Kgs. : Fillies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... 50 Kgs.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  <w:t>PENALITIES :Winner of a race 3 Kgs., or of 2 races 6 Kgs., or of a 3 or more races 8 Kgs.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Note:-After the final forfeit should the top weighted horse be less than 56 Kgs it shall be raised to 56 Kgs and the weights of the remaining </w:t>
            </w:r>
            <w:r>
              <w:rPr>
                <w:rFonts w:ascii="Verdana" w:eastAsia="Times New Roman" w:hAnsi="Verdana"/>
                <w:sz w:val="20"/>
                <w:szCs w:val="20"/>
              </w:rPr>
              <w:t>horses will be raised relatively.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LAD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GLORIOUSNESS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HOME RUN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DEGREE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MYSTICAL DAWN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WALKING THUNDER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KING'S CODE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NIJINSKY STAR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STARS ENVIED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NORTHERN WAVES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ANDRE'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RACING RULER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CHANGEZ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25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TIMELESS ELEGANCE</w:t>
            </w:r>
          </w:p>
        </w:tc>
        <w:tc>
          <w:tcPr>
            <w:tcW w:w="300" w:type="pct"/>
            <w:hideMark/>
          </w:tcPr>
          <w:p w:rsidR="00000000" w:rsidRDefault="000925D5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925D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GOLDEN DEGREE</w:t>
                  </w:r>
                </w:p>
              </w:tc>
            </w:tr>
          </w:tbl>
          <w:p w:rsidR="00000000" w:rsidRDefault="000925D5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0925D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LA QUINTA, RACING RULER, PETALUMA</w:t>
                  </w:r>
                </w:p>
              </w:tc>
            </w:tr>
          </w:tbl>
          <w:p w:rsidR="00000000" w:rsidRDefault="000925D5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0925D5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925D5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26.12.2024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0925D5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25/12/2024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0925D5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0925D5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0925D5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925D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0925D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0925D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0925D5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0925D5" w:rsidRDefault="000925D5">
      <w:pPr>
        <w:rPr>
          <w:rFonts w:eastAsia="Times New Roman"/>
        </w:rPr>
      </w:pPr>
    </w:p>
    <w:sectPr w:rsidR="00092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541F"/>
    <w:rsid w:val="000925D5"/>
    <w:rsid w:val="006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DEF53-45C4-46EB-8B43-15148403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2024-12-25T11:03:00Z</dcterms:created>
  <dcterms:modified xsi:type="dcterms:W3CDTF">2024-12-25T11:03:00Z</dcterms:modified>
</cp:coreProperties>
</file>