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15th DAY, Sunday, 15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DIRECTOR GENERAL OF POLICE CUP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OF BLESSING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MAGNUS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PROUD MARY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MAGNUM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B3568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MAGNUM</w:t>
                  </w:r>
                </w:p>
              </w:tc>
            </w:tr>
          </w:tbl>
          <w:p w:rsidR="00000000" w:rsidRDefault="00B3568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ASIFABAD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GRAND DUKE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B3568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GRAND DUKE, CLUB QUEEN</w:t>
                  </w:r>
                </w:p>
              </w:tc>
            </w:tr>
          </w:tbl>
          <w:p w:rsidR="00000000" w:rsidRDefault="00B3568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B35684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PRESIDENT OF INDIA GOLD CUP - GRADE II (ABOUT) 2400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4 year olds and upward.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PENALITIES :Winner of either a Grade 3 race or a race of value Rs.7,50,000 or over (other than a graded race) 1 kg., or either of two or more such races 1.5 kgs., OR Winner of either a Grade 2 race or a race of value Rs.15,00,000 or over (other than a grad</w:t>
            </w:r>
            <w:r>
              <w:rPr>
                <w:rFonts w:ascii="Verdana" w:eastAsia="Times New Roman" w:hAnsi="Verdana"/>
                <w:sz w:val="20"/>
                <w:szCs w:val="20"/>
              </w:rPr>
              <w:t>ed race) 2 kgs., or either of two or more such races 3.5 kgs., OR Winner of either a Grade 1 race or a race of value Rs.25,00,000 or over (other than a graded race) 5 kgs., or either of two or more such races 7 kgs. In addition: Winner of a race after Marc</w:t>
            </w:r>
            <w:r>
              <w:rPr>
                <w:rFonts w:ascii="Verdana" w:eastAsia="Times New Roman" w:hAnsi="Verdana"/>
                <w:sz w:val="20"/>
                <w:szCs w:val="20"/>
              </w:rPr>
              <w:t>h 31, 2024 of value Rs.10,00,000 or over 1 kg.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Allowances: Fillies and Mares .. 1.5 kgs.,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Note:-Note: After the final forfeits should the top weighted horse be less than 56 kgs it shall be raised to 56 kgs and the weights of the remai</w:t>
            </w:r>
            <w:r>
              <w:rPr>
                <w:rFonts w:ascii="Verdana" w:eastAsia="Times New Roman" w:hAnsi="Verdana"/>
                <w:sz w:val="20"/>
                <w:szCs w:val="20"/>
              </w:rPr>
              <w:t>ning horses will be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DYF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GALAHAD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RAMIEL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ARC DE TRIOMPHE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KALAMITSI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FIRE POWER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PISSARRO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WEST BROOK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TRUTH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ROSES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GEOGRAPHIQUE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MYSTERIOUS ANGEL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GAJRAJ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NEARCO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BLUE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B3568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ARION ONE</w:t>
                  </w:r>
                </w:p>
              </w:tc>
            </w:tr>
          </w:tbl>
          <w:p w:rsidR="00000000" w:rsidRDefault="00B35684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NARAYANPET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 which have run twice, placed 2nd or 3rd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35684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AASHRITHA PET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BLACK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  (EX:ONLY MY SULTAN)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NOTICE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SKYWARD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B35684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56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5684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3568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12.09.2024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B35684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11/09/2024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B35684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B35684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35684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3568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B3568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3568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B35684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B35684" w:rsidRDefault="00B35684">
      <w:pPr>
        <w:rPr>
          <w:rFonts w:eastAsia="Times New Roman"/>
        </w:rPr>
      </w:pPr>
    </w:p>
    <w:sectPr w:rsidR="00B35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5BDF"/>
    <w:rsid w:val="00025BDF"/>
    <w:rsid w:val="00B3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73C52-951B-4508-AC59-AE3B1D77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2024-09-11T11:34:00Z</dcterms:created>
  <dcterms:modified xsi:type="dcterms:W3CDTF">2024-09-11T11:34:00Z</dcterms:modified>
</cp:coreProperties>
</file>